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гражданская служба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гражданская служба»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«Государственная гражданская служба».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гражданская служба»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опыт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управления по целям управления и по результатам,  основные направления совершенствования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основное содержание стратегии государства, цели, элементы государственного управления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знаниями в области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определения параметров качества управленческих решений и осуществления административных процессов</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351.3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правовыми актами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«Государственная гражданская служба»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формирования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системы государственной службы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гражданская служба как публично-правовой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государственной службой.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и виды государственных служащих. Должностные лица в системе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Становление и развитие органов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Общие принципы организации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Конфликт интересов на государственной гражданской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28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формирования государственной службы в России.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«Государственной и муниципальной службы.</w:t>
            </w:r>
          </w:p>
          <w:p>
            <w:pPr>
              <w:jc w:val="both"/>
              <w:spacing w:after="0" w:line="240" w:lineRule="auto"/>
              <w:rPr>
                <w:sz w:val="24"/>
                <w:szCs w:val="24"/>
              </w:rPr>
            </w:pPr>
            <w:r>
              <w:rPr>
                <w:rFonts w:ascii="Times New Roman" w:hAnsi="Times New Roman" w:cs="Times New Roman"/>
                <w:color w:val="#000000"/>
                <w:sz w:val="24"/>
                <w:szCs w:val="24"/>
              </w:rPr>
              <w:t> Политическая и правовая концепции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История института государственной службы в России.</w:t>
            </w:r>
          </w:p>
          <w:p>
            <w:pPr>
              <w:jc w:val="both"/>
              <w:spacing w:after="0" w:line="240" w:lineRule="auto"/>
              <w:rPr>
                <w:sz w:val="24"/>
                <w:szCs w:val="24"/>
              </w:rPr>
            </w:pPr>
            <w:r>
              <w:rPr>
                <w:rFonts w:ascii="Times New Roman" w:hAnsi="Times New Roman" w:cs="Times New Roman"/>
                <w:color w:val="#000000"/>
                <w:sz w:val="24"/>
                <w:szCs w:val="24"/>
              </w:rPr>
              <w:t> Развитие института государственной службы в рамках современных административных преобразований.</w:t>
            </w:r>
          </w:p>
          <w:p>
            <w:pPr>
              <w:jc w:val="both"/>
              <w:spacing w:after="0" w:line="240" w:lineRule="auto"/>
              <w:rPr>
                <w:sz w:val="24"/>
                <w:szCs w:val="24"/>
              </w:rPr>
            </w:pPr>
            <w:r>
              <w:rPr>
                <w:rFonts w:ascii="Times New Roman" w:hAnsi="Times New Roman" w:cs="Times New Roman"/>
                <w:color w:val="#000000"/>
                <w:sz w:val="24"/>
                <w:szCs w:val="24"/>
              </w:rPr>
              <w:t> Эволюция государственной бюрократии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системы государственной службы в зарубежных странах.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государственной и муниципальной службы в зарубежных странах.</w:t>
            </w:r>
          </w:p>
          <w:p>
            <w:pPr>
              <w:jc w:val="both"/>
              <w:spacing w:after="0" w:line="240" w:lineRule="auto"/>
              <w:rPr>
                <w:sz w:val="24"/>
                <w:szCs w:val="24"/>
              </w:rPr>
            </w:pPr>
            <w:r>
              <w:rPr>
                <w:rFonts w:ascii="Times New Roman" w:hAnsi="Times New Roman" w:cs="Times New Roman"/>
                <w:color w:val="#000000"/>
                <w:sz w:val="24"/>
                <w:szCs w:val="24"/>
              </w:rPr>
              <w:t> Публичная служба Франции.</w:t>
            </w:r>
          </w:p>
          <w:p>
            <w:pPr>
              <w:jc w:val="both"/>
              <w:spacing w:after="0" w:line="240" w:lineRule="auto"/>
              <w:rPr>
                <w:sz w:val="24"/>
                <w:szCs w:val="24"/>
              </w:rPr>
            </w:pPr>
            <w:r>
              <w:rPr>
                <w:rFonts w:ascii="Times New Roman" w:hAnsi="Times New Roman" w:cs="Times New Roman"/>
                <w:color w:val="#000000"/>
                <w:sz w:val="24"/>
                <w:szCs w:val="24"/>
              </w:rPr>
              <w:t> Публичная служба ФРГ.</w:t>
            </w:r>
          </w:p>
          <w:p>
            <w:pPr>
              <w:jc w:val="both"/>
              <w:spacing w:after="0" w:line="240" w:lineRule="auto"/>
              <w:rPr>
                <w:sz w:val="24"/>
                <w:szCs w:val="24"/>
              </w:rPr>
            </w:pPr>
            <w:r>
              <w:rPr>
                <w:rFonts w:ascii="Times New Roman" w:hAnsi="Times New Roman" w:cs="Times New Roman"/>
                <w:color w:val="#000000"/>
                <w:sz w:val="24"/>
                <w:szCs w:val="24"/>
              </w:rPr>
              <w:t> Гражданская служба Великобритании.</w:t>
            </w:r>
          </w:p>
          <w:p>
            <w:pPr>
              <w:jc w:val="both"/>
              <w:spacing w:after="0" w:line="240" w:lineRule="auto"/>
              <w:rPr>
                <w:sz w:val="24"/>
                <w:szCs w:val="24"/>
              </w:rPr>
            </w:pPr>
            <w:r>
              <w:rPr>
                <w:rFonts w:ascii="Times New Roman" w:hAnsi="Times New Roman" w:cs="Times New Roman"/>
                <w:color w:val="#000000"/>
                <w:sz w:val="24"/>
                <w:szCs w:val="24"/>
              </w:rPr>
              <w:t> Государственная служба США.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гражданская служба как публично-правовой институт.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Оказание услуг как главное свойство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Взаимодействие политической и административной власти в государстве.</w:t>
            </w:r>
          </w:p>
          <w:p>
            <w:pPr>
              <w:jc w:val="both"/>
              <w:spacing w:after="0" w:line="240" w:lineRule="auto"/>
              <w:rPr>
                <w:sz w:val="24"/>
                <w:szCs w:val="24"/>
              </w:rPr>
            </w:pPr>
            <w:r>
              <w:rPr>
                <w:rFonts w:ascii="Times New Roman" w:hAnsi="Times New Roman" w:cs="Times New Roman"/>
                <w:color w:val="#000000"/>
                <w:sz w:val="24"/>
                <w:szCs w:val="24"/>
              </w:rPr>
              <w:t> Вопросы деполитизации и департизации гражданской службы.</w:t>
            </w:r>
          </w:p>
          <w:p>
            <w:pPr>
              <w:jc w:val="both"/>
              <w:spacing w:after="0" w:line="240" w:lineRule="auto"/>
              <w:rPr>
                <w:sz w:val="24"/>
                <w:szCs w:val="24"/>
              </w:rPr>
            </w:pPr>
            <w:r>
              <w:rPr>
                <w:rFonts w:ascii="Times New Roman" w:hAnsi="Times New Roman" w:cs="Times New Roman"/>
                <w:color w:val="#000000"/>
                <w:sz w:val="24"/>
                <w:szCs w:val="24"/>
              </w:rPr>
              <w:t> Объективные законы гражданской службы.</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государственной службой.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Аналитическое и экспертное обеспечение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Нормативное и документационное обеспечение.</w:t>
            </w:r>
          </w:p>
          <w:p>
            <w:pPr>
              <w:jc w:val="both"/>
              <w:spacing w:after="0" w:line="240" w:lineRule="auto"/>
              <w:rPr>
                <w:sz w:val="24"/>
                <w:szCs w:val="24"/>
              </w:rPr>
            </w:pPr>
            <w:r>
              <w:rPr>
                <w:rFonts w:ascii="Times New Roman" w:hAnsi="Times New Roman" w:cs="Times New Roman"/>
                <w:color w:val="#000000"/>
                <w:sz w:val="24"/>
                <w:szCs w:val="24"/>
              </w:rPr>
              <w:t> Система и принципы государственной службы в РФ.</w:t>
            </w:r>
          </w:p>
          <w:p>
            <w:pPr>
              <w:jc w:val="both"/>
              <w:spacing w:after="0" w:line="240" w:lineRule="auto"/>
              <w:rPr>
                <w:sz w:val="24"/>
                <w:szCs w:val="24"/>
              </w:rPr>
            </w:pPr>
            <w:r>
              <w:rPr>
                <w:rFonts w:ascii="Times New Roman" w:hAnsi="Times New Roman" w:cs="Times New Roman"/>
                <w:color w:val="#000000"/>
                <w:sz w:val="24"/>
                <w:szCs w:val="24"/>
              </w:rPr>
              <w:t> Механизмы взаимодействия федеральной и региональной госслужбы.</w:t>
            </w:r>
          </w:p>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Гражданская служба и «электронное правительство».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и виды государственных служащих. Должностные лица в системе государственной службы.</w:t>
            </w:r>
          </w:p>
        </w:tc>
      </w:tr>
      <w:tr>
        <w:trPr>
          <w:trHeight w:hRule="exact" w:val="1067.5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гражданский служащий: основы правового статуса и иерархия должностей.</w:t>
            </w:r>
          </w:p>
          <w:p>
            <w:pPr>
              <w:jc w:val="both"/>
              <w:spacing w:after="0" w:line="240" w:lineRule="auto"/>
              <w:rPr>
                <w:sz w:val="24"/>
                <w:szCs w:val="24"/>
              </w:rPr>
            </w:pPr>
            <w:r>
              <w:rPr>
                <w:rFonts w:ascii="Times New Roman" w:hAnsi="Times New Roman" w:cs="Times New Roman"/>
                <w:color w:val="#000000"/>
                <w:sz w:val="24"/>
                <w:szCs w:val="24"/>
              </w:rPr>
              <w:t> Реестр должностей госслужбы.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государственных должностей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Система классных чинов на государственной гражданской службе.</w:t>
            </w:r>
          </w:p>
          <w:p>
            <w:pPr>
              <w:jc w:val="both"/>
              <w:spacing w:after="0" w:line="240" w:lineRule="auto"/>
              <w:rPr>
                <w:sz w:val="24"/>
                <w:szCs w:val="24"/>
              </w:rPr>
            </w:pPr>
            <w:r>
              <w:rPr>
                <w:rFonts w:ascii="Times New Roman" w:hAnsi="Times New Roman" w:cs="Times New Roman"/>
                <w:color w:val="#000000"/>
                <w:sz w:val="24"/>
                <w:szCs w:val="24"/>
              </w:rPr>
              <w:t> Правовой статус государственного гражданского служащего: система прав, обязанностей, ограничений и запретов.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Становление и развитие органов местного самоуправления.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муниципальной службы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Взаимосвязь государственной и муниципальной службы.</w:t>
            </w:r>
          </w:p>
          <w:p>
            <w:pPr>
              <w:jc w:val="both"/>
              <w:spacing w:after="0" w:line="240" w:lineRule="auto"/>
              <w:rPr>
                <w:sz w:val="24"/>
                <w:szCs w:val="24"/>
              </w:rPr>
            </w:pPr>
            <w:r>
              <w:rPr>
                <w:rFonts w:ascii="Times New Roman" w:hAnsi="Times New Roman" w:cs="Times New Roman"/>
                <w:color w:val="#000000"/>
                <w:sz w:val="24"/>
                <w:szCs w:val="24"/>
              </w:rPr>
              <w:t> Понятие муниципальной службы и муниципальной должности.</w:t>
            </w:r>
          </w:p>
          <w:p>
            <w:pPr>
              <w:jc w:val="both"/>
              <w:spacing w:after="0" w:line="240" w:lineRule="auto"/>
              <w:rPr>
                <w:sz w:val="24"/>
                <w:szCs w:val="24"/>
              </w:rPr>
            </w:pPr>
            <w:r>
              <w:rPr>
                <w:rFonts w:ascii="Times New Roman" w:hAnsi="Times New Roman" w:cs="Times New Roman"/>
                <w:color w:val="#000000"/>
                <w:sz w:val="24"/>
                <w:szCs w:val="24"/>
              </w:rPr>
              <w:t> Правовые основы статуса муниципального служащего.</w:t>
            </w:r>
          </w:p>
          <w:p>
            <w:pPr>
              <w:jc w:val="both"/>
              <w:spacing w:after="0" w:line="240" w:lineRule="auto"/>
              <w:rPr>
                <w:sz w:val="24"/>
                <w:szCs w:val="24"/>
              </w:rPr>
            </w:pPr>
            <w:r>
              <w:rPr>
                <w:rFonts w:ascii="Times New Roman" w:hAnsi="Times New Roman" w:cs="Times New Roman"/>
                <w:color w:val="#000000"/>
                <w:sz w:val="24"/>
                <w:szCs w:val="24"/>
              </w:rPr>
              <w:t> Требования к муниципальным должностям.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Общие принципы организации муниципальной службы.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мероприятий по реализации кадровой политики в органах муниципального управления.</w:t>
            </w:r>
          </w:p>
          <w:p>
            <w:pPr>
              <w:jc w:val="both"/>
              <w:spacing w:after="0" w:line="240" w:lineRule="auto"/>
              <w:rPr>
                <w:sz w:val="24"/>
                <w:szCs w:val="24"/>
              </w:rPr>
            </w:pPr>
            <w:r>
              <w:rPr>
                <w:rFonts w:ascii="Times New Roman" w:hAnsi="Times New Roman" w:cs="Times New Roman"/>
                <w:color w:val="#000000"/>
                <w:sz w:val="24"/>
                <w:szCs w:val="24"/>
              </w:rPr>
              <w:t> Принятие на государственную гражданскую службу.</w:t>
            </w:r>
          </w:p>
          <w:p>
            <w:pPr>
              <w:jc w:val="both"/>
              <w:spacing w:after="0" w:line="240" w:lineRule="auto"/>
              <w:rPr>
                <w:sz w:val="24"/>
                <w:szCs w:val="24"/>
              </w:rPr>
            </w:pPr>
            <w:r>
              <w:rPr>
                <w:rFonts w:ascii="Times New Roman" w:hAnsi="Times New Roman" w:cs="Times New Roman"/>
                <w:color w:val="#000000"/>
                <w:sz w:val="24"/>
                <w:szCs w:val="24"/>
              </w:rPr>
              <w:t> Аттестация государственных гражданских служащих.</w:t>
            </w:r>
          </w:p>
          <w:p>
            <w:pPr>
              <w:jc w:val="both"/>
              <w:spacing w:after="0" w:line="240" w:lineRule="auto"/>
              <w:rPr>
                <w:sz w:val="24"/>
                <w:szCs w:val="24"/>
              </w:rPr>
            </w:pPr>
            <w:r>
              <w:rPr>
                <w:rFonts w:ascii="Times New Roman" w:hAnsi="Times New Roman" w:cs="Times New Roman"/>
                <w:color w:val="#000000"/>
                <w:sz w:val="24"/>
                <w:szCs w:val="24"/>
              </w:rPr>
              <w:t> Регламентация служебной деятельности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Оценка профессиональной служебной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Конфликт интересов на государственной гражданской и муниципальной службе.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конфликта интересов на гражданской службе.</w:t>
            </w:r>
          </w:p>
          <w:p>
            <w:pPr>
              <w:jc w:val="both"/>
              <w:spacing w:after="0" w:line="240" w:lineRule="auto"/>
              <w:rPr>
                <w:sz w:val="24"/>
                <w:szCs w:val="24"/>
              </w:rPr>
            </w:pPr>
            <w:r>
              <w:rPr>
                <w:rFonts w:ascii="Times New Roman" w:hAnsi="Times New Roman" w:cs="Times New Roman"/>
                <w:color w:val="#000000"/>
                <w:sz w:val="24"/>
                <w:szCs w:val="24"/>
              </w:rPr>
              <w:t> Урегулирование конфликта интересов.</w:t>
            </w:r>
          </w:p>
          <w:p>
            <w:pPr>
              <w:jc w:val="both"/>
              <w:spacing w:after="0" w:line="240" w:lineRule="auto"/>
              <w:rPr>
                <w:sz w:val="24"/>
                <w:szCs w:val="24"/>
              </w:rPr>
            </w:pPr>
            <w:r>
              <w:rPr>
                <w:rFonts w:ascii="Times New Roman" w:hAnsi="Times New Roman" w:cs="Times New Roman"/>
                <w:color w:val="#000000"/>
                <w:sz w:val="24"/>
                <w:szCs w:val="24"/>
              </w:rPr>
              <w:t> Мероприятия, направленные на предотвращение возникновения конфликта интересов.</w:t>
            </w:r>
          </w:p>
          <w:p>
            <w:pPr>
              <w:jc w:val="both"/>
              <w:spacing w:after="0" w:line="240" w:lineRule="auto"/>
              <w:rPr>
                <w:sz w:val="24"/>
                <w:szCs w:val="24"/>
              </w:rPr>
            </w:pPr>
            <w:r>
              <w:rPr>
                <w:rFonts w:ascii="Times New Roman" w:hAnsi="Times New Roman" w:cs="Times New Roman"/>
                <w:color w:val="#000000"/>
                <w:sz w:val="24"/>
                <w:szCs w:val="24"/>
              </w:rPr>
              <w:t> Порядок рассмотрения индивидуальных служебных споров.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гражданская служба» / Демьянов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https://urait.ru/bcode/470274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Першин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Терешина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https://urait.ru/bcode/468771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https://urait.ru/bcode/469934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2024-2025_ФГОС3++2024_Бак-ОЗФО-ГМУ(ГМС)(24)_plx_Государственная гражданская служба</dc:title>
  <dc:creator>FastReport.NET</dc:creator>
</cp:coreProperties>
</file>